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C775C" w14:textId="3566D143" w:rsidR="00A8763D" w:rsidRDefault="00A8763D" w:rsidP="001A6C0E">
      <w:pPr>
        <w:pStyle w:val="NoSpacing"/>
        <w:jc w:val="center"/>
      </w:pPr>
      <w:r w:rsidRPr="00C55231">
        <w:rPr>
          <w:rFonts w:cstheme="minorHAnsi"/>
          <w:b/>
          <w:bCs/>
          <w:noProof/>
        </w:rPr>
        <w:drawing>
          <wp:inline distT="0" distB="0" distL="0" distR="0" wp14:anchorId="08B4E424" wp14:editId="1EA0F553">
            <wp:extent cx="1815152" cy="54815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457" cy="557912"/>
                    </a:xfrm>
                    <a:prstGeom prst="rect">
                      <a:avLst/>
                    </a:prstGeom>
                    <a:noFill/>
                  </pic:spPr>
                </pic:pic>
              </a:graphicData>
            </a:graphic>
          </wp:inline>
        </w:drawing>
      </w:r>
      <w:r>
        <w:rPr>
          <w:noProof/>
        </w:rPr>
        <w:drawing>
          <wp:inline distT="0" distB="0" distL="0" distR="0" wp14:anchorId="533C0255" wp14:editId="0A31A23F">
            <wp:extent cx="1823833" cy="63084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3305" cy="637579"/>
                    </a:xfrm>
                    <a:prstGeom prst="rect">
                      <a:avLst/>
                    </a:prstGeom>
                    <a:noFill/>
                  </pic:spPr>
                </pic:pic>
              </a:graphicData>
            </a:graphic>
          </wp:inline>
        </w:drawing>
      </w:r>
      <w:r w:rsidR="00E05544">
        <w:rPr>
          <w:noProof/>
        </w:rPr>
        <w:drawing>
          <wp:inline distT="0" distB="0" distL="0" distR="0" wp14:anchorId="4476D959" wp14:editId="62996C4B">
            <wp:extent cx="1957780" cy="552076"/>
            <wp:effectExtent l="0" t="0" r="4445" b="635"/>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89509" cy="561023"/>
                    </a:xfrm>
                    <a:prstGeom prst="rect">
                      <a:avLst/>
                    </a:prstGeom>
                  </pic:spPr>
                </pic:pic>
              </a:graphicData>
            </a:graphic>
          </wp:inline>
        </w:drawing>
      </w:r>
    </w:p>
    <w:p w14:paraId="37FF542F" w14:textId="77777777" w:rsidR="000A1124" w:rsidRDefault="000A1124" w:rsidP="000A1124">
      <w:pPr>
        <w:pStyle w:val="NoSpacing"/>
      </w:pPr>
    </w:p>
    <w:p w14:paraId="6C0E6FFF" w14:textId="77777777" w:rsidR="00EF24C4" w:rsidRDefault="00A8763D" w:rsidP="000A1124">
      <w:pPr>
        <w:pStyle w:val="NoSpacing"/>
      </w:pPr>
      <w:r w:rsidRPr="00CE1F94">
        <w:t xml:space="preserve">Applications are now invited for the position of </w:t>
      </w:r>
      <w:r w:rsidRPr="00CE1F94">
        <w:rPr>
          <w:b/>
          <w:bCs/>
        </w:rPr>
        <w:t xml:space="preserve">ASPIRE Post-CSCST Fellowship </w:t>
      </w:r>
      <w:r w:rsidR="000A1124" w:rsidRPr="00CE1F94">
        <w:rPr>
          <w:b/>
          <w:bCs/>
        </w:rPr>
        <w:t>in Interventional Psychiatry (2024-2025)</w:t>
      </w:r>
      <w:r w:rsidR="000A1124" w:rsidRPr="00CE1F94">
        <w:t>.</w:t>
      </w:r>
      <w:r w:rsidR="0051048A" w:rsidRPr="00CE1F94">
        <w:t xml:space="preserve"> </w:t>
      </w:r>
    </w:p>
    <w:p w14:paraId="648D0C06" w14:textId="77777777" w:rsidR="00EF24C4" w:rsidRDefault="00EF24C4" w:rsidP="000A1124">
      <w:pPr>
        <w:pStyle w:val="NoSpacing"/>
      </w:pPr>
    </w:p>
    <w:p w14:paraId="71096B57" w14:textId="00EB78FC" w:rsidR="0090349F" w:rsidRPr="00CE1F94" w:rsidRDefault="0090349F" w:rsidP="000A1124">
      <w:pPr>
        <w:pStyle w:val="NoSpacing"/>
        <w:rPr>
          <w:b/>
          <w:bCs/>
        </w:rPr>
      </w:pPr>
      <w:r w:rsidRPr="00CE1F94">
        <w:t xml:space="preserve">The post will be based at </w:t>
      </w:r>
      <w:r w:rsidRPr="00CE1F94">
        <w:rPr>
          <w:b/>
          <w:bCs/>
        </w:rPr>
        <w:t>Tallaght University Hospital (TUH)</w:t>
      </w:r>
      <w:r w:rsidRPr="00CE1F94">
        <w:t xml:space="preserve"> and </w:t>
      </w:r>
      <w:r w:rsidRPr="00CE1F94">
        <w:rPr>
          <w:b/>
          <w:bCs/>
        </w:rPr>
        <w:t xml:space="preserve">St Patrick’s University Hospital (SPUH) </w:t>
      </w:r>
      <w:r w:rsidRPr="00CE1F94">
        <w:t>and is</w:t>
      </w:r>
      <w:r w:rsidRPr="00CE1F94">
        <w:rPr>
          <w:b/>
          <w:bCs/>
        </w:rPr>
        <w:t xml:space="preserve"> </w:t>
      </w:r>
      <w:r w:rsidR="00486395" w:rsidRPr="00CE1F94">
        <w:t>a one-year fixed term contract.</w:t>
      </w:r>
      <w:r w:rsidRPr="00CE1F94">
        <w:t xml:space="preserve"> </w:t>
      </w:r>
    </w:p>
    <w:p w14:paraId="5744A26F" w14:textId="77777777" w:rsidR="0090349F" w:rsidRPr="00CE1F94" w:rsidRDefault="0090349F" w:rsidP="000A1124">
      <w:pPr>
        <w:pStyle w:val="NoSpacing"/>
      </w:pPr>
    </w:p>
    <w:p w14:paraId="09C8EC20" w14:textId="3D12E58A" w:rsidR="00224BD9" w:rsidRPr="00CE1F94" w:rsidRDefault="009B3390" w:rsidP="000A1124">
      <w:pPr>
        <w:pStyle w:val="NoSpacing"/>
      </w:pPr>
      <w:r w:rsidRPr="00CE1F94">
        <w:t>Th</w:t>
      </w:r>
      <w:r w:rsidR="00133FEB" w:rsidRPr="00CE1F94">
        <w:t>e</w:t>
      </w:r>
      <w:r w:rsidRPr="00CE1F94">
        <w:t xml:space="preserve"> </w:t>
      </w:r>
      <w:r w:rsidR="002D1A48" w:rsidRPr="00CE1F94">
        <w:t xml:space="preserve">combined infrastructure and </w:t>
      </w:r>
      <w:r w:rsidR="00E977A9" w:rsidRPr="00CE1F94">
        <w:t xml:space="preserve">research </w:t>
      </w:r>
      <w:r w:rsidR="00133FEB" w:rsidRPr="00CE1F94">
        <w:t xml:space="preserve">capability in TUH and SPUH </w:t>
      </w:r>
      <w:r w:rsidR="00D7774C" w:rsidRPr="00CE1F94">
        <w:t>in</w:t>
      </w:r>
      <w:r w:rsidR="00E977A9" w:rsidRPr="00CE1F94">
        <w:t xml:space="preserve"> electroconvulsive therapy (ECT), ketamine therapy and psychedelic therapy</w:t>
      </w:r>
      <w:r w:rsidR="00133FEB" w:rsidRPr="00CE1F94">
        <w:t xml:space="preserve"> offers an opportunity for doctors who have completed the Higher Specialist Training program in Psychiatry, to access further subspecialty training </w:t>
      </w:r>
      <w:r w:rsidR="00E75C99" w:rsidRPr="00CE1F94">
        <w:t xml:space="preserve">and experience </w:t>
      </w:r>
      <w:r w:rsidR="005467CF" w:rsidRPr="00CE1F94">
        <w:t>in</w:t>
      </w:r>
      <w:r w:rsidR="00E75C99" w:rsidRPr="00CE1F94">
        <w:t xml:space="preserve"> </w:t>
      </w:r>
      <w:r w:rsidR="00133FEB" w:rsidRPr="00CE1F94">
        <w:t>these procedures</w:t>
      </w:r>
      <w:r w:rsidR="00CE4F4A" w:rsidRPr="00CE1F94">
        <w:t xml:space="preserve"> and to upskill in specialist assessment and management of individuals with treatment resistant conditions.</w:t>
      </w:r>
      <w:r w:rsidR="004B35DE" w:rsidRPr="00CE1F94">
        <w:t xml:space="preserve"> </w:t>
      </w:r>
    </w:p>
    <w:p w14:paraId="24374F9E" w14:textId="77777777" w:rsidR="00224BD9" w:rsidRPr="00CE1F94" w:rsidRDefault="00224BD9" w:rsidP="000A1124">
      <w:pPr>
        <w:pStyle w:val="NoSpacing"/>
      </w:pPr>
    </w:p>
    <w:p w14:paraId="622C4FDC" w14:textId="57A2FB87" w:rsidR="00493952" w:rsidRPr="00CE1F94" w:rsidRDefault="00F442BA" w:rsidP="00F442BA">
      <w:pPr>
        <w:pStyle w:val="NoSpacing"/>
      </w:pPr>
      <w:r w:rsidRPr="00F442BA">
        <w:t xml:space="preserve">The fellow will gain experience in the assessment and selection of appropriate patients/participants for each modality, acquire proficiency in the administration of each modality and gain knowledge in the monitoring of treatment response and management of potential adverse effects. </w:t>
      </w:r>
    </w:p>
    <w:p w14:paraId="379B43AE" w14:textId="77777777" w:rsidR="004A3A87" w:rsidRPr="00CE1F94" w:rsidRDefault="004A3A87" w:rsidP="00F442BA">
      <w:pPr>
        <w:pStyle w:val="NoSpacing"/>
      </w:pPr>
    </w:p>
    <w:p w14:paraId="495AF316" w14:textId="77777777" w:rsidR="00432666" w:rsidRPr="00CE1F94" w:rsidRDefault="00AA3E4B" w:rsidP="00AA3E4B">
      <w:pPr>
        <w:pStyle w:val="NoSpacing"/>
      </w:pPr>
      <w:r w:rsidRPr="00AA3E4B">
        <w:t>In addition to the procedural training, the fellow will have the opportunity to participate in a diverse range of research activities</w:t>
      </w:r>
      <w:r w:rsidR="00815524" w:rsidRPr="00CE1F94">
        <w:t xml:space="preserve">, including </w:t>
      </w:r>
      <w:r w:rsidRPr="00AA3E4B">
        <w:t xml:space="preserve">ECT, ketamine and psychedelic therapy. Development of these skills is an advantage for trainees seeking consultant posts in General Adult and Old Age Psychiatry </w:t>
      </w:r>
      <w:proofErr w:type="gramStart"/>
      <w:r w:rsidRPr="00AA3E4B">
        <w:t>in particular and</w:t>
      </w:r>
      <w:proofErr w:type="gramEnd"/>
      <w:r w:rsidRPr="00AA3E4B">
        <w:t xml:space="preserve"> those with academic interests. </w:t>
      </w:r>
    </w:p>
    <w:p w14:paraId="600D3C69" w14:textId="77777777" w:rsidR="00432666" w:rsidRPr="00CE1F94" w:rsidRDefault="00432666" w:rsidP="00AA3E4B">
      <w:pPr>
        <w:pStyle w:val="NoSpacing"/>
      </w:pPr>
    </w:p>
    <w:p w14:paraId="576E31A8" w14:textId="28687AD2" w:rsidR="00AA3E4B" w:rsidRPr="00CE1F94" w:rsidRDefault="00AA3E4B" w:rsidP="00AA3E4B">
      <w:pPr>
        <w:pStyle w:val="NoSpacing"/>
      </w:pPr>
      <w:r w:rsidRPr="00AA3E4B">
        <w:t>Clinical commitments will allow for the flexibility and emerging autonomy appropriate for post-CST trainees. The Fellow will also be supported to complete their individual learning goals</w:t>
      </w:r>
      <w:r w:rsidR="00EF24C4">
        <w:t xml:space="preserve">. </w:t>
      </w:r>
      <w:r w:rsidRPr="00AA3E4B">
        <w:t xml:space="preserve"> </w:t>
      </w:r>
    </w:p>
    <w:p w14:paraId="6AF34704" w14:textId="11F84DBB" w:rsidR="007F781D" w:rsidRPr="00CE1F94" w:rsidRDefault="007F781D" w:rsidP="00AA3E4B">
      <w:pPr>
        <w:pStyle w:val="NoSpacing"/>
      </w:pPr>
    </w:p>
    <w:p w14:paraId="655BEA1B" w14:textId="77777777" w:rsidR="007F781D" w:rsidRPr="007F781D" w:rsidRDefault="007F781D" w:rsidP="007F781D">
      <w:pPr>
        <w:pStyle w:val="NoSpacing"/>
      </w:pPr>
      <w:r w:rsidRPr="007F781D">
        <w:t>Following completion of this fellowship, the successful candidate will have acquired specialized knowledge and transferrable clinical skills to optimize established treatments (e.g., ECT), contribute to progress in emerging and novel interventional approaches and gain exposure to internationally competitive clinical research.</w:t>
      </w:r>
    </w:p>
    <w:p w14:paraId="1CB64642" w14:textId="17B22334" w:rsidR="007F781D" w:rsidRPr="00CE1F94" w:rsidRDefault="007F781D" w:rsidP="00AA3E4B">
      <w:pPr>
        <w:pStyle w:val="NoSpacing"/>
      </w:pPr>
    </w:p>
    <w:p w14:paraId="3AD227D8" w14:textId="77777777" w:rsidR="007F781D" w:rsidRPr="007F781D" w:rsidRDefault="007F781D" w:rsidP="007F781D">
      <w:pPr>
        <w:pStyle w:val="NoSpacing"/>
      </w:pPr>
      <w:r w:rsidRPr="007F781D">
        <w:t xml:space="preserve">All applicants must be currently registered with the Irish Medical Council (IMC) and will have completed Higher Specialist Training in psychiatry. </w:t>
      </w:r>
    </w:p>
    <w:p w14:paraId="2B4F53CD" w14:textId="77777777" w:rsidR="007F781D" w:rsidRPr="007F781D" w:rsidRDefault="007F781D" w:rsidP="007F781D">
      <w:pPr>
        <w:pStyle w:val="NoSpacing"/>
      </w:pPr>
    </w:p>
    <w:p w14:paraId="1D4E9A25" w14:textId="77777777" w:rsidR="007F781D" w:rsidRPr="007F781D" w:rsidRDefault="007F781D" w:rsidP="007F781D">
      <w:pPr>
        <w:pStyle w:val="NoSpacing"/>
      </w:pPr>
      <w:r w:rsidRPr="007F781D">
        <w:t xml:space="preserve">Informal inquiries in relation to the above post may be made to: </w:t>
      </w:r>
    </w:p>
    <w:p w14:paraId="6B7C3988" w14:textId="77777777" w:rsidR="007F781D" w:rsidRPr="007F781D" w:rsidRDefault="007F781D" w:rsidP="007F781D">
      <w:pPr>
        <w:pStyle w:val="NoSpacing"/>
      </w:pPr>
      <w:r w:rsidRPr="007F781D">
        <w:t>Dr John R. Kelly, Consultant Psychiatrist (</w:t>
      </w:r>
      <w:hyperlink r:id="rId10" w:history="1">
        <w:r w:rsidRPr="007F781D">
          <w:rPr>
            <w:rStyle w:val="Hyperlink"/>
          </w:rPr>
          <w:t>kellyjr@tcd.ie</w:t>
        </w:r>
      </w:hyperlink>
      <w:r w:rsidRPr="007F781D">
        <w:t>) or Dr Martha Finnegan, Psychiatry of Later Life Consultant (PLL Liaison and ECT at TUH) (</w:t>
      </w:r>
      <w:hyperlink r:id="rId11" w:history="1">
        <w:r w:rsidRPr="007F781D">
          <w:rPr>
            <w:rStyle w:val="Hyperlink"/>
          </w:rPr>
          <w:t>mfinneg@tcd.ie</w:t>
        </w:r>
      </w:hyperlink>
      <w:r w:rsidRPr="007F781D">
        <w:t>) or Prof. Declan Mc Loughlin (</w:t>
      </w:r>
      <w:hyperlink r:id="rId12" w:history="1">
        <w:r w:rsidRPr="007F781D">
          <w:rPr>
            <w:rStyle w:val="Hyperlink"/>
          </w:rPr>
          <w:t>d.mcloughlin@tcd.ie</w:t>
        </w:r>
      </w:hyperlink>
      <w:r w:rsidRPr="007F781D">
        <w:t>)</w:t>
      </w:r>
    </w:p>
    <w:p w14:paraId="27FD487A" w14:textId="77777777" w:rsidR="007F781D" w:rsidRPr="00AA3E4B" w:rsidRDefault="007F781D" w:rsidP="00AA3E4B">
      <w:pPr>
        <w:pStyle w:val="NoSpacing"/>
        <w:rPr>
          <w:highlight w:val="yellow"/>
        </w:rPr>
      </w:pPr>
    </w:p>
    <w:p w14:paraId="3973D3DF" w14:textId="77777777" w:rsidR="00AA3E4B" w:rsidRPr="00AA3E4B" w:rsidRDefault="00AA3E4B" w:rsidP="00AA3E4B">
      <w:pPr>
        <w:pStyle w:val="NoSpacing"/>
        <w:rPr>
          <w:highlight w:val="yellow"/>
        </w:rPr>
      </w:pPr>
    </w:p>
    <w:p w14:paraId="077C6782" w14:textId="4A9BA17F" w:rsidR="00CB4706" w:rsidRDefault="00CB4706" w:rsidP="00AA3E4B">
      <w:pPr>
        <w:pStyle w:val="NoSpacing"/>
        <w:rPr>
          <w:highlight w:val="yellow"/>
        </w:rPr>
      </w:pPr>
    </w:p>
    <w:sectPr w:rsidR="00CB470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2158A" w14:textId="77777777" w:rsidR="007D1126" w:rsidRDefault="007D1126" w:rsidP="007D1126">
      <w:pPr>
        <w:spacing w:after="0" w:line="240" w:lineRule="auto"/>
      </w:pPr>
      <w:r>
        <w:separator/>
      </w:r>
    </w:p>
  </w:endnote>
  <w:endnote w:type="continuationSeparator" w:id="0">
    <w:p w14:paraId="601D6D48" w14:textId="77777777" w:rsidR="007D1126" w:rsidRDefault="007D1126" w:rsidP="007D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C4BD2" w14:textId="77777777" w:rsidR="007D1126" w:rsidRDefault="007D1126" w:rsidP="007D1126">
      <w:pPr>
        <w:spacing w:after="0" w:line="240" w:lineRule="auto"/>
      </w:pPr>
      <w:r>
        <w:separator/>
      </w:r>
    </w:p>
  </w:footnote>
  <w:footnote w:type="continuationSeparator" w:id="0">
    <w:p w14:paraId="75EED857" w14:textId="77777777" w:rsidR="007D1126" w:rsidRDefault="007D1126" w:rsidP="007D1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8CD40" w14:textId="436B03DB" w:rsidR="007D1126" w:rsidRDefault="007D1126" w:rsidP="007D1126">
    <w:pPr>
      <w:pStyle w:val="Header"/>
      <w:jc w:val="center"/>
    </w:pPr>
    <w:r>
      <w:rPr>
        <w:noProof/>
      </w:rPr>
      <w:drawing>
        <wp:inline distT="0" distB="0" distL="0" distR="0" wp14:anchorId="58AF229F" wp14:editId="0C521136">
          <wp:extent cx="1769745" cy="4572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74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40CD1"/>
    <w:multiLevelType w:val="hybridMultilevel"/>
    <w:tmpl w:val="A1B4F7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773E5E29"/>
    <w:multiLevelType w:val="hybridMultilevel"/>
    <w:tmpl w:val="11680C9C"/>
    <w:lvl w:ilvl="0" w:tplc="40767982">
      <w:start w:val="1"/>
      <w:numFmt w:val="bullet"/>
      <w:lvlText w:val=""/>
      <w:lvlJc w:val="left"/>
      <w:pPr>
        <w:ind w:left="1080" w:hanging="360"/>
      </w:pPr>
      <w:rPr>
        <w:rFonts w:ascii="Symbol" w:hAnsi="Symbol"/>
      </w:rPr>
    </w:lvl>
    <w:lvl w:ilvl="1" w:tplc="EC6A2E0C">
      <w:start w:val="1"/>
      <w:numFmt w:val="bullet"/>
      <w:lvlText w:val=""/>
      <w:lvlJc w:val="left"/>
      <w:pPr>
        <w:ind w:left="1080" w:hanging="360"/>
      </w:pPr>
      <w:rPr>
        <w:rFonts w:ascii="Symbol" w:hAnsi="Symbol"/>
      </w:rPr>
    </w:lvl>
    <w:lvl w:ilvl="2" w:tplc="011AAB20">
      <w:start w:val="1"/>
      <w:numFmt w:val="bullet"/>
      <w:lvlText w:val=""/>
      <w:lvlJc w:val="left"/>
      <w:pPr>
        <w:ind w:left="1080" w:hanging="360"/>
      </w:pPr>
      <w:rPr>
        <w:rFonts w:ascii="Symbol" w:hAnsi="Symbol"/>
      </w:rPr>
    </w:lvl>
    <w:lvl w:ilvl="3" w:tplc="7A86F302">
      <w:start w:val="1"/>
      <w:numFmt w:val="bullet"/>
      <w:lvlText w:val=""/>
      <w:lvlJc w:val="left"/>
      <w:pPr>
        <w:ind w:left="1080" w:hanging="360"/>
      </w:pPr>
      <w:rPr>
        <w:rFonts w:ascii="Symbol" w:hAnsi="Symbol"/>
      </w:rPr>
    </w:lvl>
    <w:lvl w:ilvl="4" w:tplc="59E05AC6">
      <w:start w:val="1"/>
      <w:numFmt w:val="bullet"/>
      <w:lvlText w:val=""/>
      <w:lvlJc w:val="left"/>
      <w:pPr>
        <w:ind w:left="1080" w:hanging="360"/>
      </w:pPr>
      <w:rPr>
        <w:rFonts w:ascii="Symbol" w:hAnsi="Symbol"/>
      </w:rPr>
    </w:lvl>
    <w:lvl w:ilvl="5" w:tplc="EEEA2EC6">
      <w:start w:val="1"/>
      <w:numFmt w:val="bullet"/>
      <w:lvlText w:val=""/>
      <w:lvlJc w:val="left"/>
      <w:pPr>
        <w:ind w:left="1080" w:hanging="360"/>
      </w:pPr>
      <w:rPr>
        <w:rFonts w:ascii="Symbol" w:hAnsi="Symbol"/>
      </w:rPr>
    </w:lvl>
    <w:lvl w:ilvl="6" w:tplc="F258DC1E">
      <w:start w:val="1"/>
      <w:numFmt w:val="bullet"/>
      <w:lvlText w:val=""/>
      <w:lvlJc w:val="left"/>
      <w:pPr>
        <w:ind w:left="1080" w:hanging="360"/>
      </w:pPr>
      <w:rPr>
        <w:rFonts w:ascii="Symbol" w:hAnsi="Symbol"/>
      </w:rPr>
    </w:lvl>
    <w:lvl w:ilvl="7" w:tplc="FD8EC3CA">
      <w:start w:val="1"/>
      <w:numFmt w:val="bullet"/>
      <w:lvlText w:val=""/>
      <w:lvlJc w:val="left"/>
      <w:pPr>
        <w:ind w:left="1080" w:hanging="360"/>
      </w:pPr>
      <w:rPr>
        <w:rFonts w:ascii="Symbol" w:hAnsi="Symbol"/>
      </w:rPr>
    </w:lvl>
    <w:lvl w:ilvl="8" w:tplc="D13A4D0E">
      <w:start w:val="1"/>
      <w:numFmt w:val="bullet"/>
      <w:lvlText w:val=""/>
      <w:lvlJc w:val="left"/>
      <w:pPr>
        <w:ind w:left="108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87"/>
    <w:rsid w:val="000A1124"/>
    <w:rsid w:val="000D535A"/>
    <w:rsid w:val="00103ED3"/>
    <w:rsid w:val="00116228"/>
    <w:rsid w:val="00133FEB"/>
    <w:rsid w:val="001A6C0E"/>
    <w:rsid w:val="001C38B8"/>
    <w:rsid w:val="001D2D40"/>
    <w:rsid w:val="001D576F"/>
    <w:rsid w:val="00224BD9"/>
    <w:rsid w:val="0022687F"/>
    <w:rsid w:val="0027387F"/>
    <w:rsid w:val="00280303"/>
    <w:rsid w:val="00292B5E"/>
    <w:rsid w:val="002A0890"/>
    <w:rsid w:val="002A4A3D"/>
    <w:rsid w:val="002C4728"/>
    <w:rsid w:val="002D1A48"/>
    <w:rsid w:val="002D64F9"/>
    <w:rsid w:val="00322103"/>
    <w:rsid w:val="003377F3"/>
    <w:rsid w:val="0036581F"/>
    <w:rsid w:val="003C5B4C"/>
    <w:rsid w:val="00432666"/>
    <w:rsid w:val="004860B9"/>
    <w:rsid w:val="00486395"/>
    <w:rsid w:val="00493952"/>
    <w:rsid w:val="004A3A87"/>
    <w:rsid w:val="004B35DE"/>
    <w:rsid w:val="0051048A"/>
    <w:rsid w:val="005365D6"/>
    <w:rsid w:val="005467CF"/>
    <w:rsid w:val="00554B4A"/>
    <w:rsid w:val="005845D9"/>
    <w:rsid w:val="0058549F"/>
    <w:rsid w:val="005C17C6"/>
    <w:rsid w:val="005E09F7"/>
    <w:rsid w:val="00643D6D"/>
    <w:rsid w:val="006501CD"/>
    <w:rsid w:val="00684F35"/>
    <w:rsid w:val="00692C87"/>
    <w:rsid w:val="006A4EB3"/>
    <w:rsid w:val="006A52C4"/>
    <w:rsid w:val="006C2FF6"/>
    <w:rsid w:val="006D75A1"/>
    <w:rsid w:val="00716532"/>
    <w:rsid w:val="007176D9"/>
    <w:rsid w:val="007928AF"/>
    <w:rsid w:val="007D1126"/>
    <w:rsid w:val="007D249B"/>
    <w:rsid w:val="007D333B"/>
    <w:rsid w:val="007E4514"/>
    <w:rsid w:val="007F781D"/>
    <w:rsid w:val="00807341"/>
    <w:rsid w:val="00815524"/>
    <w:rsid w:val="00824D9D"/>
    <w:rsid w:val="00841943"/>
    <w:rsid w:val="008559D3"/>
    <w:rsid w:val="00884B8A"/>
    <w:rsid w:val="0088546C"/>
    <w:rsid w:val="008A45D2"/>
    <w:rsid w:val="0090349F"/>
    <w:rsid w:val="00986311"/>
    <w:rsid w:val="00994AD5"/>
    <w:rsid w:val="009B3390"/>
    <w:rsid w:val="00A40A76"/>
    <w:rsid w:val="00A87288"/>
    <w:rsid w:val="00A8763D"/>
    <w:rsid w:val="00AA3E4B"/>
    <w:rsid w:val="00AC0CF3"/>
    <w:rsid w:val="00B66B58"/>
    <w:rsid w:val="00BA421D"/>
    <w:rsid w:val="00BB17D9"/>
    <w:rsid w:val="00BB7F56"/>
    <w:rsid w:val="00BC3233"/>
    <w:rsid w:val="00CB4706"/>
    <w:rsid w:val="00CE1F94"/>
    <w:rsid w:val="00CE2E1F"/>
    <w:rsid w:val="00CE4F4A"/>
    <w:rsid w:val="00D448DD"/>
    <w:rsid w:val="00D7774C"/>
    <w:rsid w:val="00E05544"/>
    <w:rsid w:val="00E64C68"/>
    <w:rsid w:val="00E75C99"/>
    <w:rsid w:val="00E977A9"/>
    <w:rsid w:val="00EE0BCB"/>
    <w:rsid w:val="00EF24C4"/>
    <w:rsid w:val="00F069A5"/>
    <w:rsid w:val="00F442BA"/>
    <w:rsid w:val="00FD01A7"/>
    <w:rsid w:val="00FE5A91"/>
    <w:rsid w:val="00FF7B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1AD592"/>
  <w15:chartTrackingRefBased/>
  <w15:docId w15:val="{7526DF0E-2CF6-4023-B181-860AD87D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C87"/>
    <w:pPr>
      <w:spacing w:after="0" w:line="240" w:lineRule="auto"/>
    </w:pPr>
  </w:style>
  <w:style w:type="character" w:styleId="Hyperlink">
    <w:name w:val="Hyperlink"/>
    <w:basedOn w:val="DefaultParagraphFont"/>
    <w:uiPriority w:val="99"/>
    <w:unhideWhenUsed/>
    <w:rsid w:val="00FD01A7"/>
    <w:rPr>
      <w:color w:val="0563C1" w:themeColor="hyperlink"/>
      <w:u w:val="single"/>
    </w:rPr>
  </w:style>
  <w:style w:type="character" w:styleId="UnresolvedMention">
    <w:name w:val="Unresolved Mention"/>
    <w:basedOn w:val="DefaultParagraphFont"/>
    <w:uiPriority w:val="99"/>
    <w:semiHidden/>
    <w:unhideWhenUsed/>
    <w:rsid w:val="00FD01A7"/>
    <w:rPr>
      <w:color w:val="605E5C"/>
      <w:shd w:val="clear" w:color="auto" w:fill="E1DFDD"/>
    </w:rPr>
  </w:style>
  <w:style w:type="character" w:styleId="CommentReference">
    <w:name w:val="annotation reference"/>
    <w:basedOn w:val="DefaultParagraphFont"/>
    <w:uiPriority w:val="99"/>
    <w:semiHidden/>
    <w:unhideWhenUsed/>
    <w:rsid w:val="0051048A"/>
    <w:rPr>
      <w:sz w:val="16"/>
      <w:szCs w:val="16"/>
    </w:rPr>
  </w:style>
  <w:style w:type="paragraph" w:styleId="CommentText">
    <w:name w:val="annotation text"/>
    <w:basedOn w:val="Normal"/>
    <w:link w:val="CommentTextChar"/>
    <w:uiPriority w:val="99"/>
    <w:unhideWhenUsed/>
    <w:rsid w:val="0051048A"/>
    <w:pPr>
      <w:spacing w:line="240" w:lineRule="auto"/>
    </w:pPr>
    <w:rPr>
      <w:sz w:val="20"/>
      <w:szCs w:val="20"/>
    </w:rPr>
  </w:style>
  <w:style w:type="character" w:customStyle="1" w:styleId="CommentTextChar">
    <w:name w:val="Comment Text Char"/>
    <w:basedOn w:val="DefaultParagraphFont"/>
    <w:link w:val="CommentText"/>
    <w:uiPriority w:val="99"/>
    <w:rsid w:val="0051048A"/>
    <w:rPr>
      <w:sz w:val="20"/>
      <w:szCs w:val="20"/>
    </w:rPr>
  </w:style>
  <w:style w:type="paragraph" w:styleId="CommentSubject">
    <w:name w:val="annotation subject"/>
    <w:basedOn w:val="CommentText"/>
    <w:next w:val="CommentText"/>
    <w:link w:val="CommentSubjectChar"/>
    <w:uiPriority w:val="99"/>
    <w:semiHidden/>
    <w:unhideWhenUsed/>
    <w:rsid w:val="0051048A"/>
    <w:rPr>
      <w:b/>
      <w:bCs/>
    </w:rPr>
  </w:style>
  <w:style w:type="character" w:customStyle="1" w:styleId="CommentSubjectChar">
    <w:name w:val="Comment Subject Char"/>
    <w:basedOn w:val="CommentTextChar"/>
    <w:link w:val="CommentSubject"/>
    <w:uiPriority w:val="99"/>
    <w:semiHidden/>
    <w:rsid w:val="0051048A"/>
    <w:rPr>
      <w:b/>
      <w:bCs/>
      <w:sz w:val="20"/>
      <w:szCs w:val="20"/>
    </w:rPr>
  </w:style>
  <w:style w:type="paragraph" w:styleId="Header">
    <w:name w:val="header"/>
    <w:basedOn w:val="Normal"/>
    <w:link w:val="HeaderChar"/>
    <w:uiPriority w:val="99"/>
    <w:unhideWhenUsed/>
    <w:rsid w:val="007D1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126"/>
  </w:style>
  <w:style w:type="paragraph" w:styleId="Footer">
    <w:name w:val="footer"/>
    <w:basedOn w:val="Normal"/>
    <w:link w:val="FooterChar"/>
    <w:uiPriority w:val="99"/>
    <w:unhideWhenUsed/>
    <w:rsid w:val="007D1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mcloughlin@tc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inneg@tcd.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ellyjr@tcd.i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Kelly</dc:creator>
  <cp:keywords/>
  <dc:description/>
  <cp:lastModifiedBy>Kellie Myers</cp:lastModifiedBy>
  <cp:revision>114</cp:revision>
  <dcterms:created xsi:type="dcterms:W3CDTF">2023-09-05T12:09:00Z</dcterms:created>
  <dcterms:modified xsi:type="dcterms:W3CDTF">2023-09-26T10:22:00Z</dcterms:modified>
</cp:coreProperties>
</file>